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r>
        <w:rPr>
          <w:rFonts w:asciiTheme="minorHAnsi" w:hAnsiTheme="minorHAnsi" w:cstheme="minorHAnsi"/>
          <w:sz w:val="22"/>
        </w:rPr>
        <w:t>Fish Marketing</w:t>
      </w: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AF5B33" w:rsidRDefault="00AF5B33" w:rsidP="00AF5B33">
      <w:pPr>
        <w:spacing w:after="0"/>
        <w:jc w:val="center"/>
        <w:rPr>
          <w:rFonts w:asciiTheme="minorHAnsi" w:hAnsiTheme="minorHAnsi" w:cstheme="minorHAnsi"/>
          <w:sz w:val="22"/>
        </w:rPr>
      </w:pPr>
    </w:p>
    <w:p w:rsidR="008F34BA" w:rsidRDefault="008F34BA" w:rsidP="00AF5B33">
      <w:pPr>
        <w:spacing w:after="0"/>
        <w:jc w:val="center"/>
        <w:rPr>
          <w:rFonts w:asciiTheme="minorHAnsi" w:hAnsiTheme="minorHAnsi" w:cstheme="minorHAnsi"/>
          <w:sz w:val="22"/>
        </w:rPr>
      </w:pPr>
      <w:r>
        <w:rPr>
          <w:rFonts w:asciiTheme="minorHAnsi" w:hAnsiTheme="minorHAnsi" w:cstheme="minorHAnsi"/>
          <w:sz w:val="22"/>
        </w:rPr>
        <w:t>Name</w:t>
      </w:r>
    </w:p>
    <w:p w:rsidR="008F34BA" w:rsidRDefault="008F34BA" w:rsidP="00AF5B33">
      <w:pPr>
        <w:spacing w:after="0"/>
        <w:jc w:val="center"/>
        <w:rPr>
          <w:rFonts w:asciiTheme="minorHAnsi" w:hAnsiTheme="minorHAnsi" w:cstheme="minorHAnsi"/>
          <w:sz w:val="22"/>
        </w:rPr>
      </w:pPr>
      <w:r>
        <w:rPr>
          <w:rFonts w:asciiTheme="minorHAnsi" w:hAnsiTheme="minorHAnsi" w:cstheme="minorHAnsi"/>
          <w:sz w:val="22"/>
        </w:rPr>
        <w:t>Instructor’s Name</w:t>
      </w:r>
    </w:p>
    <w:p w:rsidR="008F34BA" w:rsidRDefault="008F34BA" w:rsidP="00AF5B33">
      <w:pPr>
        <w:spacing w:after="0"/>
        <w:jc w:val="center"/>
        <w:rPr>
          <w:rFonts w:asciiTheme="minorHAnsi" w:hAnsiTheme="minorHAnsi" w:cstheme="minorHAnsi"/>
          <w:sz w:val="22"/>
        </w:rPr>
      </w:pPr>
      <w:r>
        <w:rPr>
          <w:rFonts w:asciiTheme="minorHAnsi" w:hAnsiTheme="minorHAnsi" w:cstheme="minorHAnsi"/>
          <w:sz w:val="22"/>
        </w:rPr>
        <w:t>Course Title</w:t>
      </w:r>
    </w:p>
    <w:p w:rsidR="008F34BA" w:rsidRDefault="008F34BA" w:rsidP="00AF5B33">
      <w:pPr>
        <w:spacing w:after="0"/>
        <w:jc w:val="center"/>
        <w:rPr>
          <w:rFonts w:asciiTheme="minorHAnsi" w:hAnsiTheme="minorHAnsi" w:cstheme="minorHAnsi"/>
          <w:sz w:val="22"/>
        </w:rPr>
      </w:pPr>
      <w:r>
        <w:rPr>
          <w:rFonts w:asciiTheme="minorHAnsi" w:hAnsiTheme="minorHAnsi" w:cstheme="minorHAnsi"/>
          <w:sz w:val="22"/>
        </w:rPr>
        <w:t>Date</w:t>
      </w:r>
    </w:p>
    <w:p w:rsidR="00AF5B33" w:rsidRDefault="00AF5B33" w:rsidP="00AF5B33">
      <w:pPr>
        <w:spacing w:after="0"/>
        <w:rPr>
          <w:rFonts w:asciiTheme="minorHAnsi" w:hAnsiTheme="minorHAnsi" w:cstheme="minorHAnsi"/>
          <w:sz w:val="22"/>
        </w:rPr>
      </w:pPr>
      <w:r>
        <w:rPr>
          <w:rFonts w:asciiTheme="minorHAnsi" w:hAnsiTheme="minorHAnsi" w:cstheme="minorHAnsi"/>
          <w:sz w:val="22"/>
        </w:rPr>
        <w:br w:type="page"/>
      </w:r>
    </w:p>
    <w:p w:rsidR="00BD5755" w:rsidRPr="008F34BA" w:rsidRDefault="0095541F" w:rsidP="000F4E77">
      <w:pPr>
        <w:spacing w:after="0"/>
        <w:ind w:firstLine="720"/>
        <w:jc w:val="both"/>
        <w:rPr>
          <w:rFonts w:asciiTheme="minorHAnsi" w:hAnsiTheme="minorHAnsi" w:cstheme="minorHAnsi"/>
          <w:sz w:val="22"/>
        </w:rPr>
      </w:pPr>
      <w:r w:rsidRPr="008F34BA">
        <w:rPr>
          <w:rFonts w:asciiTheme="minorHAnsi" w:hAnsiTheme="minorHAnsi" w:cstheme="minorHAnsi"/>
          <w:sz w:val="22"/>
        </w:rPr>
        <w:lastRenderedPageBreak/>
        <w:t xml:space="preserve">International commercial fishing market is classified under fish captured for commercial use, geography, and methods used in commercial fishing. Global market segmentation gives proper analysis for proper location of commercial fishing to maximize profits. Global market segmentation is also vital in acquiring relevant data about fish as a </w:t>
      </w:r>
      <w:r w:rsidR="00BE5AEA" w:rsidRPr="008F34BA">
        <w:rPr>
          <w:rFonts w:asciiTheme="minorHAnsi" w:hAnsiTheme="minorHAnsi" w:cstheme="minorHAnsi"/>
          <w:sz w:val="22"/>
        </w:rPr>
        <w:t>resource</w:t>
      </w:r>
      <w:r w:rsidR="00BE5AEA" w:rsidRPr="008F34BA">
        <w:rPr>
          <w:rStyle w:val="FootnoteReference"/>
          <w:rFonts w:asciiTheme="minorHAnsi" w:hAnsiTheme="minorHAnsi" w:cstheme="minorHAnsi"/>
          <w:sz w:val="22"/>
        </w:rPr>
        <w:footnoteReference w:id="1"/>
      </w:r>
      <w:r w:rsidRPr="008F34BA">
        <w:rPr>
          <w:rFonts w:asciiTheme="minorHAnsi" w:hAnsiTheme="minorHAnsi" w:cstheme="minorHAnsi"/>
          <w:sz w:val="22"/>
        </w:rPr>
        <w:t>. Resource is analyzed as the shadow value of the fish in the sea and since fish are a natural resource, open access is guaranteed but maximizing of present value is advised. The balance between open access and present value creates a platform for analysis that allows or equilibrium or steady states</w:t>
      </w:r>
      <w:r w:rsidR="00BE5AEA" w:rsidRPr="008F34BA">
        <w:rPr>
          <w:rStyle w:val="FootnoteReference"/>
          <w:rFonts w:asciiTheme="minorHAnsi" w:hAnsiTheme="minorHAnsi" w:cstheme="minorHAnsi"/>
          <w:sz w:val="22"/>
        </w:rPr>
        <w:footnoteReference w:id="2"/>
      </w:r>
      <w:r w:rsidRPr="008F34BA">
        <w:rPr>
          <w:rFonts w:asciiTheme="minorHAnsi" w:hAnsiTheme="minorHAnsi" w:cstheme="minorHAnsi"/>
          <w:sz w:val="22"/>
        </w:rPr>
        <w:t xml:space="preserve">. These steady states are landmarked by constant stock that does not change over time but allows the catch from the fishing expedition enough revenue for cost of their trip. </w:t>
      </w:r>
    </w:p>
    <w:p w:rsidR="00994DF5" w:rsidRPr="008F34BA" w:rsidRDefault="00755A77" w:rsidP="000F4E77">
      <w:pPr>
        <w:spacing w:after="0"/>
        <w:ind w:firstLine="720"/>
        <w:jc w:val="both"/>
        <w:rPr>
          <w:rFonts w:asciiTheme="minorHAnsi" w:hAnsiTheme="minorHAnsi" w:cstheme="minorHAnsi"/>
          <w:sz w:val="22"/>
        </w:rPr>
      </w:pPr>
      <w:r w:rsidRPr="008F34BA">
        <w:rPr>
          <w:rFonts w:asciiTheme="minorHAnsi" w:hAnsiTheme="minorHAnsi" w:cstheme="minorHAnsi"/>
          <w:sz w:val="22"/>
        </w:rPr>
        <w:t xml:space="preserve">Supply for fish is relevant on location and water bodies present but the demand for fishery products continues to grow steadily. </w:t>
      </w:r>
      <w:r w:rsidR="006F64D6" w:rsidRPr="008F34BA">
        <w:rPr>
          <w:rFonts w:asciiTheme="minorHAnsi" w:hAnsiTheme="minorHAnsi" w:cstheme="minorHAnsi"/>
          <w:sz w:val="22"/>
        </w:rPr>
        <w:t>Supply is mainly plagued by perverse incentives that encourage unsustainable fishing practices. This incentive, intentional fraud, and nefarious practices, executives in seafood supply chain to behave accordingly in response to the system they operate</w:t>
      </w:r>
      <w:r w:rsidR="00BE5AEA" w:rsidRPr="008F34BA">
        <w:rPr>
          <w:rStyle w:val="FootnoteReference"/>
          <w:rFonts w:asciiTheme="minorHAnsi" w:hAnsiTheme="minorHAnsi" w:cstheme="minorHAnsi"/>
          <w:sz w:val="22"/>
        </w:rPr>
        <w:footnoteReference w:id="3"/>
      </w:r>
      <w:r w:rsidR="006F64D6" w:rsidRPr="008F34BA">
        <w:rPr>
          <w:rFonts w:asciiTheme="minorHAnsi" w:hAnsiTheme="minorHAnsi" w:cstheme="minorHAnsi"/>
          <w:sz w:val="22"/>
        </w:rPr>
        <w:t xml:space="preserve">. The challenges facing the supply chain should be addressed through coordinated and simultaneous efforts so as to shift the entire system. </w:t>
      </w:r>
      <w:r w:rsidRPr="008F34BA">
        <w:rPr>
          <w:rFonts w:asciiTheme="minorHAnsi" w:hAnsiTheme="minorHAnsi" w:cstheme="minorHAnsi"/>
          <w:sz w:val="22"/>
        </w:rPr>
        <w:t xml:space="preserve">The structure that evaluates the demand for fish </w:t>
      </w:r>
      <w:r w:rsidR="00994DF5" w:rsidRPr="008F34BA">
        <w:rPr>
          <w:rFonts w:asciiTheme="minorHAnsi" w:hAnsiTheme="minorHAnsi" w:cstheme="minorHAnsi"/>
          <w:sz w:val="22"/>
        </w:rPr>
        <w:t>focuses on the price sensitivity of the demand, degree of substitution with competing products, and the analysis of income to expenditure and their effects</w:t>
      </w:r>
      <w:r w:rsidR="00BE5AEA" w:rsidRPr="008F34BA">
        <w:rPr>
          <w:rStyle w:val="FootnoteReference"/>
          <w:rFonts w:asciiTheme="minorHAnsi" w:hAnsiTheme="minorHAnsi" w:cstheme="minorHAnsi"/>
          <w:sz w:val="22"/>
        </w:rPr>
        <w:footnoteReference w:id="4"/>
      </w:r>
      <w:r w:rsidR="00994DF5" w:rsidRPr="008F34BA">
        <w:rPr>
          <w:rFonts w:asciiTheme="minorHAnsi" w:hAnsiTheme="minorHAnsi" w:cstheme="minorHAnsi"/>
          <w:sz w:val="22"/>
        </w:rPr>
        <w:t xml:space="preserve">. </w:t>
      </w:r>
      <w:r w:rsidR="00BD5755" w:rsidRPr="008F34BA">
        <w:rPr>
          <w:rFonts w:asciiTheme="minorHAnsi" w:hAnsiTheme="minorHAnsi" w:cstheme="minorHAnsi"/>
          <w:sz w:val="22"/>
        </w:rPr>
        <w:t xml:space="preserve">Data is collected it is relevant in the determination of sustainability and legality of a product. The data is also critical in the determination of stock health. </w:t>
      </w:r>
    </w:p>
    <w:p w:rsidR="008F34BA" w:rsidRPr="008F34BA" w:rsidRDefault="00BD5755" w:rsidP="000F4E77">
      <w:pPr>
        <w:spacing w:after="0"/>
        <w:ind w:firstLine="720"/>
        <w:jc w:val="both"/>
        <w:rPr>
          <w:rFonts w:asciiTheme="minorHAnsi" w:hAnsiTheme="minorHAnsi" w:cstheme="minorHAnsi"/>
          <w:sz w:val="22"/>
        </w:rPr>
      </w:pPr>
      <w:r w:rsidRPr="008F34BA">
        <w:rPr>
          <w:rFonts w:asciiTheme="minorHAnsi" w:hAnsiTheme="minorHAnsi" w:cstheme="minorHAnsi"/>
          <w:sz w:val="22"/>
        </w:rPr>
        <w:t xml:space="preserve">Marginal analysis is the </w:t>
      </w:r>
      <w:r w:rsidR="00925470" w:rsidRPr="008F34BA">
        <w:rPr>
          <w:rFonts w:asciiTheme="minorHAnsi" w:hAnsiTheme="minorHAnsi" w:cstheme="minorHAnsi"/>
          <w:sz w:val="22"/>
        </w:rPr>
        <w:t>detailed scrutiny</w:t>
      </w:r>
      <w:r w:rsidRPr="008F34BA">
        <w:rPr>
          <w:rFonts w:asciiTheme="minorHAnsi" w:hAnsiTheme="minorHAnsi" w:cstheme="minorHAnsi"/>
          <w:sz w:val="22"/>
        </w:rPr>
        <w:t xml:space="preserve"> of the </w:t>
      </w:r>
      <w:r w:rsidR="00925470" w:rsidRPr="008F34BA">
        <w:rPr>
          <w:rFonts w:asciiTheme="minorHAnsi" w:hAnsiTheme="minorHAnsi" w:cstheme="minorHAnsi"/>
          <w:sz w:val="22"/>
        </w:rPr>
        <w:t xml:space="preserve">extra </w:t>
      </w:r>
      <w:r w:rsidR="00BE5AEA" w:rsidRPr="008F34BA">
        <w:rPr>
          <w:rFonts w:asciiTheme="minorHAnsi" w:hAnsiTheme="minorHAnsi" w:cstheme="minorHAnsi"/>
          <w:sz w:val="22"/>
        </w:rPr>
        <w:t xml:space="preserve">advantages </w:t>
      </w:r>
      <w:r w:rsidRPr="008F34BA">
        <w:rPr>
          <w:rFonts w:asciiTheme="minorHAnsi" w:hAnsiTheme="minorHAnsi" w:cstheme="minorHAnsi"/>
          <w:sz w:val="22"/>
        </w:rPr>
        <w:t xml:space="preserve">of a single activity </w:t>
      </w:r>
      <w:r w:rsidR="00BE5AEA" w:rsidRPr="008F34BA">
        <w:rPr>
          <w:rFonts w:asciiTheme="minorHAnsi" w:hAnsiTheme="minorHAnsi" w:cstheme="minorHAnsi"/>
          <w:sz w:val="22"/>
        </w:rPr>
        <w:t xml:space="preserve">in comparison to </w:t>
      </w:r>
      <w:r w:rsidRPr="008F34BA">
        <w:rPr>
          <w:rFonts w:asciiTheme="minorHAnsi" w:hAnsiTheme="minorHAnsi" w:cstheme="minorHAnsi"/>
          <w:sz w:val="22"/>
        </w:rPr>
        <w:t xml:space="preserve">the </w:t>
      </w:r>
      <w:r w:rsidR="00BE5AEA" w:rsidRPr="008F34BA">
        <w:rPr>
          <w:rFonts w:asciiTheme="minorHAnsi" w:hAnsiTheme="minorHAnsi" w:cstheme="minorHAnsi"/>
          <w:sz w:val="22"/>
        </w:rPr>
        <w:t xml:space="preserve">extra </w:t>
      </w:r>
      <w:r w:rsidRPr="008F34BA">
        <w:rPr>
          <w:rFonts w:asciiTheme="minorHAnsi" w:hAnsiTheme="minorHAnsi" w:cstheme="minorHAnsi"/>
          <w:sz w:val="22"/>
        </w:rPr>
        <w:t xml:space="preserve">costs of that same. Additional benefits are referred to as marginal benefits, whereas additional costs are referred to as marginal costs. </w:t>
      </w:r>
      <w:r w:rsidR="00DA2D4B" w:rsidRPr="008F34BA">
        <w:rPr>
          <w:rFonts w:asciiTheme="minorHAnsi" w:hAnsiTheme="minorHAnsi" w:cstheme="minorHAnsi"/>
          <w:sz w:val="22"/>
        </w:rPr>
        <w:t xml:space="preserve">Marginal analysis seeks to estimate the inverse demand </w:t>
      </w:r>
      <w:r w:rsidR="00DA2D4B" w:rsidRPr="008F34BA">
        <w:rPr>
          <w:rFonts w:asciiTheme="minorHAnsi" w:hAnsiTheme="minorHAnsi" w:cstheme="minorHAnsi"/>
          <w:sz w:val="22"/>
        </w:rPr>
        <w:lastRenderedPageBreak/>
        <w:t>function and the average cost function</w:t>
      </w:r>
      <w:r w:rsidR="008F34BA" w:rsidRPr="008F34BA">
        <w:rPr>
          <w:rStyle w:val="FootnoteReference"/>
          <w:rFonts w:asciiTheme="minorHAnsi" w:hAnsiTheme="minorHAnsi" w:cstheme="minorHAnsi"/>
          <w:sz w:val="22"/>
        </w:rPr>
        <w:footnoteReference w:id="5"/>
      </w:r>
      <w:r w:rsidR="00DA2D4B" w:rsidRPr="008F34BA">
        <w:rPr>
          <w:rFonts w:asciiTheme="minorHAnsi" w:hAnsiTheme="minorHAnsi" w:cstheme="minorHAnsi"/>
          <w:sz w:val="22"/>
        </w:rPr>
        <w:t xml:space="preserve">. Regulations should be installed so that the incentives provided by management are taken into account by management measures and the strategies employed by the fishermen are checked for optimal on the basis of economic functions. Marginal benefits imply that a greater catch by the fishermen contribute inversely proportional to the worth of the fish, which is not logical. Marginal benefits analyze the advantages gained by mass production towards the fishers and corporations. Mass production is beneficial to both parties in the moment, but detrimental to both in the long haul. </w:t>
      </w:r>
    </w:p>
    <w:p w:rsidR="008F34BA" w:rsidRDefault="008F34BA" w:rsidP="00AF5B33">
      <w:pPr>
        <w:spacing w:after="0"/>
      </w:pPr>
      <w:r>
        <w:br w:type="page"/>
      </w:r>
    </w:p>
    <w:p w:rsidR="00BD5755" w:rsidRPr="00AF5B33" w:rsidRDefault="00AF5B33" w:rsidP="00AF5B33">
      <w:pPr>
        <w:spacing w:after="0"/>
        <w:jc w:val="center"/>
        <w:rPr>
          <w:rFonts w:asciiTheme="minorHAnsi" w:hAnsiTheme="minorHAnsi" w:cstheme="minorHAnsi"/>
          <w:sz w:val="22"/>
        </w:rPr>
      </w:pPr>
      <w:r w:rsidRPr="00AF5B33">
        <w:rPr>
          <w:rFonts w:asciiTheme="minorHAnsi" w:hAnsiTheme="minorHAnsi" w:cstheme="minorHAnsi"/>
          <w:sz w:val="22"/>
        </w:rPr>
        <w:lastRenderedPageBreak/>
        <w:t xml:space="preserve">Bibliography </w:t>
      </w:r>
    </w:p>
    <w:p w:rsidR="008F34BA" w:rsidRPr="008F34BA" w:rsidRDefault="008F34BA" w:rsidP="00AF5B33">
      <w:pPr>
        <w:spacing w:after="0"/>
        <w:ind w:left="720" w:hanging="720"/>
        <w:rPr>
          <w:rFonts w:asciiTheme="minorHAnsi" w:hAnsiTheme="minorHAnsi" w:cstheme="minorHAnsi"/>
          <w:color w:val="222222"/>
          <w:sz w:val="22"/>
          <w:shd w:val="clear" w:color="auto" w:fill="FFFFFF"/>
        </w:rPr>
      </w:pPr>
      <w:r w:rsidRPr="008F34BA">
        <w:rPr>
          <w:rFonts w:asciiTheme="minorHAnsi" w:hAnsiTheme="minorHAnsi" w:cstheme="minorHAnsi"/>
          <w:color w:val="222222"/>
          <w:sz w:val="22"/>
          <w:shd w:val="clear" w:color="auto" w:fill="FFFFFF"/>
        </w:rPr>
        <w:t>Azevedo, Eduardo M., and Jacob D. Leshno. "A supply and demand framework for two-sided matching markets." </w:t>
      </w:r>
      <w:r w:rsidRPr="008F34BA">
        <w:rPr>
          <w:rFonts w:asciiTheme="minorHAnsi" w:hAnsiTheme="minorHAnsi" w:cstheme="minorHAnsi"/>
          <w:i/>
          <w:iCs/>
          <w:color w:val="222222"/>
          <w:sz w:val="22"/>
          <w:shd w:val="clear" w:color="auto" w:fill="FFFFFF"/>
        </w:rPr>
        <w:t>Journal of Political Economy</w:t>
      </w:r>
      <w:r w:rsidRPr="008F34BA">
        <w:rPr>
          <w:rFonts w:asciiTheme="minorHAnsi" w:hAnsiTheme="minorHAnsi" w:cstheme="minorHAnsi"/>
          <w:color w:val="222222"/>
          <w:sz w:val="22"/>
          <w:shd w:val="clear" w:color="auto" w:fill="FFFFFF"/>
        </w:rPr>
        <w:t> 124, no. 5 (2016): 1235-1268.</w:t>
      </w:r>
      <w:bookmarkStart w:id="0" w:name="_GoBack"/>
      <w:bookmarkEnd w:id="0"/>
    </w:p>
    <w:p w:rsidR="008F34BA" w:rsidRPr="008F34BA" w:rsidRDefault="008F34BA" w:rsidP="00AF5B33">
      <w:pPr>
        <w:spacing w:after="0"/>
        <w:ind w:left="720" w:hanging="720"/>
        <w:rPr>
          <w:rFonts w:asciiTheme="minorHAnsi" w:hAnsiTheme="minorHAnsi" w:cstheme="minorHAnsi"/>
          <w:color w:val="222222"/>
          <w:sz w:val="22"/>
          <w:shd w:val="clear" w:color="auto" w:fill="FFFFFF"/>
        </w:rPr>
      </w:pPr>
      <w:r w:rsidRPr="008F34BA">
        <w:rPr>
          <w:rFonts w:asciiTheme="minorHAnsi" w:hAnsiTheme="minorHAnsi" w:cstheme="minorHAnsi"/>
          <w:color w:val="222222"/>
          <w:sz w:val="22"/>
          <w:shd w:val="clear" w:color="auto" w:fill="FFFFFF"/>
        </w:rPr>
        <w:t>Crutchfield, James A., and Giulio Pontecorvo. </w:t>
      </w:r>
      <w:r w:rsidRPr="008F34BA">
        <w:rPr>
          <w:rFonts w:asciiTheme="minorHAnsi" w:hAnsiTheme="minorHAnsi" w:cstheme="minorHAnsi"/>
          <w:i/>
          <w:iCs/>
          <w:color w:val="222222"/>
          <w:sz w:val="22"/>
          <w:shd w:val="clear" w:color="auto" w:fill="FFFFFF"/>
        </w:rPr>
        <w:t>The Pacific salmon fisheries: A study of irrational conservation</w:t>
      </w:r>
      <w:r w:rsidRPr="008F34BA">
        <w:rPr>
          <w:rFonts w:asciiTheme="minorHAnsi" w:hAnsiTheme="minorHAnsi" w:cstheme="minorHAnsi"/>
          <w:color w:val="222222"/>
          <w:sz w:val="22"/>
          <w:shd w:val="clear" w:color="auto" w:fill="FFFFFF"/>
        </w:rPr>
        <w:t>. RFF Press, 2013.</w:t>
      </w:r>
    </w:p>
    <w:p w:rsidR="008F34BA" w:rsidRPr="008F34BA" w:rsidRDefault="008F34BA" w:rsidP="00AF5B33">
      <w:pPr>
        <w:spacing w:after="0"/>
        <w:ind w:left="720" w:hanging="720"/>
        <w:rPr>
          <w:rFonts w:asciiTheme="minorHAnsi" w:hAnsiTheme="minorHAnsi" w:cstheme="minorHAnsi"/>
          <w:color w:val="222222"/>
          <w:sz w:val="22"/>
          <w:shd w:val="clear" w:color="auto" w:fill="FFFFFF"/>
        </w:rPr>
      </w:pPr>
      <w:r w:rsidRPr="008F34BA">
        <w:rPr>
          <w:rFonts w:asciiTheme="minorHAnsi" w:hAnsiTheme="minorHAnsi" w:cstheme="minorHAnsi"/>
          <w:color w:val="222222"/>
          <w:sz w:val="22"/>
          <w:shd w:val="clear" w:color="auto" w:fill="FFFFFF"/>
        </w:rPr>
        <w:t>Dibb, Sally, and Lyndon Simkin. </w:t>
      </w:r>
      <w:r w:rsidRPr="008F34BA">
        <w:rPr>
          <w:rFonts w:asciiTheme="minorHAnsi" w:hAnsiTheme="minorHAnsi" w:cstheme="minorHAnsi"/>
          <w:i/>
          <w:iCs/>
          <w:color w:val="222222"/>
          <w:sz w:val="22"/>
          <w:shd w:val="clear" w:color="auto" w:fill="FFFFFF"/>
        </w:rPr>
        <w:t>Market segmentation success: Making it happen!</w:t>
      </w:r>
      <w:r w:rsidRPr="008F34BA">
        <w:rPr>
          <w:rFonts w:asciiTheme="minorHAnsi" w:hAnsiTheme="minorHAnsi" w:cstheme="minorHAnsi"/>
          <w:color w:val="222222"/>
          <w:sz w:val="22"/>
          <w:shd w:val="clear" w:color="auto" w:fill="FFFFFF"/>
        </w:rPr>
        <w:t>. Abingdon-on-Thames. Routledge, 2013.</w:t>
      </w:r>
    </w:p>
    <w:p w:rsidR="008F34BA" w:rsidRPr="008F34BA" w:rsidRDefault="008F34BA" w:rsidP="00AF5B33">
      <w:pPr>
        <w:spacing w:after="0"/>
        <w:ind w:left="720" w:hanging="720"/>
        <w:rPr>
          <w:rFonts w:asciiTheme="minorHAnsi" w:hAnsiTheme="minorHAnsi" w:cstheme="minorHAnsi"/>
          <w:color w:val="222222"/>
          <w:sz w:val="22"/>
          <w:shd w:val="clear" w:color="auto" w:fill="FFFFFF"/>
        </w:rPr>
      </w:pPr>
      <w:r w:rsidRPr="008F34BA">
        <w:rPr>
          <w:rFonts w:asciiTheme="minorHAnsi" w:hAnsiTheme="minorHAnsi" w:cstheme="minorHAnsi"/>
          <w:color w:val="222222"/>
          <w:sz w:val="22"/>
          <w:shd w:val="clear" w:color="auto" w:fill="FFFFFF"/>
        </w:rPr>
        <w:t>Parreño-Marchante, A., Alvarez-Melcon, A., Trebar, M., &amp; Filippin, P. (2014). Advanced traceability system in aquaculture supply chain. </w:t>
      </w:r>
      <w:r w:rsidRPr="008F34BA">
        <w:rPr>
          <w:rFonts w:asciiTheme="minorHAnsi" w:hAnsiTheme="minorHAnsi" w:cstheme="minorHAnsi"/>
          <w:i/>
          <w:iCs/>
          <w:color w:val="222222"/>
          <w:sz w:val="22"/>
          <w:shd w:val="clear" w:color="auto" w:fill="FFFFFF"/>
        </w:rPr>
        <w:t>Journal of food engineering</w:t>
      </w:r>
      <w:r w:rsidRPr="008F34BA">
        <w:rPr>
          <w:rFonts w:asciiTheme="minorHAnsi" w:hAnsiTheme="minorHAnsi" w:cstheme="minorHAnsi"/>
          <w:color w:val="222222"/>
          <w:sz w:val="22"/>
          <w:shd w:val="clear" w:color="auto" w:fill="FFFFFF"/>
        </w:rPr>
        <w:t>, </w:t>
      </w:r>
      <w:r w:rsidRPr="008F34BA">
        <w:rPr>
          <w:rFonts w:asciiTheme="minorHAnsi" w:hAnsiTheme="minorHAnsi" w:cstheme="minorHAnsi"/>
          <w:i/>
          <w:iCs/>
          <w:color w:val="222222"/>
          <w:sz w:val="22"/>
          <w:shd w:val="clear" w:color="auto" w:fill="FFFFFF"/>
        </w:rPr>
        <w:t>122</w:t>
      </w:r>
      <w:r w:rsidRPr="008F34BA">
        <w:rPr>
          <w:rFonts w:asciiTheme="minorHAnsi" w:hAnsiTheme="minorHAnsi" w:cstheme="minorHAnsi"/>
          <w:color w:val="222222"/>
          <w:sz w:val="22"/>
          <w:shd w:val="clear" w:color="auto" w:fill="FFFFFF"/>
        </w:rPr>
        <w:t>, 99-109.</w:t>
      </w:r>
    </w:p>
    <w:p w:rsidR="008F34BA" w:rsidRPr="008F34BA" w:rsidRDefault="008F34BA" w:rsidP="00AF5B33">
      <w:pPr>
        <w:spacing w:after="0"/>
        <w:ind w:left="720" w:hanging="720"/>
        <w:rPr>
          <w:rFonts w:asciiTheme="minorHAnsi" w:hAnsiTheme="minorHAnsi" w:cstheme="minorHAnsi"/>
          <w:b/>
          <w:sz w:val="22"/>
        </w:rPr>
      </w:pPr>
      <w:r w:rsidRPr="008F34BA">
        <w:rPr>
          <w:rFonts w:asciiTheme="minorHAnsi" w:hAnsiTheme="minorHAnsi" w:cstheme="minorHAnsi"/>
          <w:color w:val="222222"/>
          <w:sz w:val="22"/>
          <w:shd w:val="clear" w:color="auto" w:fill="FFFFFF"/>
        </w:rPr>
        <w:t>Parreño-Marchante, A., Alvarez-Melcon, A., Trebar, M., &amp; Filippin, P. (2014). Advanced traceability system in aquaculture supply chain. </w:t>
      </w:r>
      <w:r w:rsidRPr="008F34BA">
        <w:rPr>
          <w:rFonts w:asciiTheme="minorHAnsi" w:hAnsiTheme="minorHAnsi" w:cstheme="minorHAnsi"/>
          <w:i/>
          <w:iCs/>
          <w:color w:val="222222"/>
          <w:sz w:val="22"/>
          <w:shd w:val="clear" w:color="auto" w:fill="FFFFFF"/>
        </w:rPr>
        <w:t>Journal of food engineering</w:t>
      </w:r>
      <w:r w:rsidRPr="008F34BA">
        <w:rPr>
          <w:rFonts w:asciiTheme="minorHAnsi" w:hAnsiTheme="minorHAnsi" w:cstheme="minorHAnsi"/>
          <w:color w:val="222222"/>
          <w:sz w:val="22"/>
          <w:shd w:val="clear" w:color="auto" w:fill="FFFFFF"/>
        </w:rPr>
        <w:t>, </w:t>
      </w:r>
      <w:r w:rsidRPr="008F34BA">
        <w:rPr>
          <w:rFonts w:asciiTheme="minorHAnsi" w:hAnsiTheme="minorHAnsi" w:cstheme="minorHAnsi"/>
          <w:i/>
          <w:iCs/>
          <w:color w:val="222222"/>
          <w:sz w:val="22"/>
          <w:shd w:val="clear" w:color="auto" w:fill="FFFFFF"/>
        </w:rPr>
        <w:t>122</w:t>
      </w:r>
      <w:r w:rsidRPr="008F34BA">
        <w:rPr>
          <w:rFonts w:asciiTheme="minorHAnsi" w:hAnsiTheme="minorHAnsi" w:cstheme="minorHAnsi"/>
          <w:color w:val="222222"/>
          <w:sz w:val="22"/>
          <w:shd w:val="clear" w:color="auto" w:fill="FFFFFF"/>
        </w:rPr>
        <w:t>, 99-109.</w:t>
      </w:r>
    </w:p>
    <w:sectPr w:rsidR="008F34BA" w:rsidRPr="008F34BA" w:rsidSect="008F34B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587" w:rsidRDefault="000D0587" w:rsidP="00BE5AEA">
      <w:pPr>
        <w:spacing w:after="0" w:line="240" w:lineRule="auto"/>
      </w:pPr>
      <w:r>
        <w:separator/>
      </w:r>
    </w:p>
  </w:endnote>
  <w:endnote w:type="continuationSeparator" w:id="0">
    <w:p w:rsidR="000D0587" w:rsidRDefault="000D0587" w:rsidP="00BE5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587" w:rsidRDefault="000D0587" w:rsidP="00BE5AEA">
      <w:pPr>
        <w:spacing w:after="0" w:line="240" w:lineRule="auto"/>
      </w:pPr>
      <w:r>
        <w:separator/>
      </w:r>
    </w:p>
  </w:footnote>
  <w:footnote w:type="continuationSeparator" w:id="0">
    <w:p w:rsidR="000D0587" w:rsidRDefault="000D0587" w:rsidP="00BE5AEA">
      <w:pPr>
        <w:spacing w:after="0" w:line="240" w:lineRule="auto"/>
      </w:pPr>
      <w:r>
        <w:continuationSeparator/>
      </w:r>
    </w:p>
  </w:footnote>
  <w:footnote w:id="1">
    <w:p w:rsidR="00BE5AEA" w:rsidRPr="00AF5B33" w:rsidRDefault="00BE5AEA" w:rsidP="00BE5AEA">
      <w:pPr>
        <w:pStyle w:val="FootnoteText"/>
        <w:ind w:left="720" w:hanging="720"/>
        <w:rPr>
          <w:sz w:val="16"/>
          <w:szCs w:val="16"/>
        </w:rPr>
      </w:pPr>
      <w:r w:rsidRPr="00AF5B33">
        <w:rPr>
          <w:rStyle w:val="FootnoteReference"/>
          <w:sz w:val="16"/>
          <w:szCs w:val="16"/>
        </w:rPr>
        <w:footnoteRef/>
      </w:r>
      <w:r w:rsidRPr="00AF5B33">
        <w:rPr>
          <w:sz w:val="16"/>
          <w:szCs w:val="16"/>
        </w:rPr>
        <w:t xml:space="preserve"> </w:t>
      </w:r>
      <w:r w:rsidRPr="00AF5B33">
        <w:rPr>
          <w:rFonts w:ascii="Arial" w:hAnsi="Arial" w:cs="Arial"/>
          <w:color w:val="222222"/>
          <w:sz w:val="16"/>
          <w:szCs w:val="16"/>
          <w:shd w:val="clear" w:color="auto" w:fill="FFFFFF"/>
        </w:rPr>
        <w:t>Dibb, Sally, and Lyndon Simkin. </w:t>
      </w:r>
      <w:r w:rsidRPr="00AF5B33">
        <w:rPr>
          <w:rFonts w:ascii="Arial" w:hAnsi="Arial" w:cs="Arial"/>
          <w:i/>
          <w:iCs/>
          <w:color w:val="222222"/>
          <w:sz w:val="16"/>
          <w:szCs w:val="16"/>
          <w:shd w:val="clear" w:color="auto" w:fill="FFFFFF"/>
        </w:rPr>
        <w:t>Market segmentation success: Making it happen!</w:t>
      </w:r>
      <w:r w:rsidRPr="00AF5B33">
        <w:rPr>
          <w:rFonts w:ascii="Arial" w:hAnsi="Arial" w:cs="Arial"/>
          <w:color w:val="222222"/>
          <w:sz w:val="16"/>
          <w:szCs w:val="16"/>
          <w:shd w:val="clear" w:color="auto" w:fill="FFFFFF"/>
        </w:rPr>
        <w:t>. Abingdon-on-Thames. Routledge, 2013.</w:t>
      </w:r>
    </w:p>
  </w:footnote>
  <w:footnote w:id="2">
    <w:p w:rsidR="00BE5AEA" w:rsidRPr="00AF5B33" w:rsidRDefault="00BE5AEA" w:rsidP="00BE5AEA">
      <w:pPr>
        <w:pStyle w:val="FootnoteText"/>
        <w:ind w:left="720" w:hanging="720"/>
        <w:rPr>
          <w:sz w:val="16"/>
          <w:szCs w:val="16"/>
        </w:rPr>
      </w:pPr>
      <w:r w:rsidRPr="00AF5B33">
        <w:rPr>
          <w:rStyle w:val="FootnoteReference"/>
          <w:sz w:val="16"/>
          <w:szCs w:val="16"/>
        </w:rPr>
        <w:footnoteRef/>
      </w:r>
      <w:r w:rsidRPr="00AF5B33">
        <w:rPr>
          <w:sz w:val="16"/>
          <w:szCs w:val="16"/>
        </w:rPr>
        <w:t xml:space="preserve"> </w:t>
      </w:r>
      <w:r w:rsidRPr="00AF5B33">
        <w:rPr>
          <w:rFonts w:ascii="Arial" w:hAnsi="Arial" w:cs="Arial"/>
          <w:color w:val="222222"/>
          <w:sz w:val="16"/>
          <w:szCs w:val="16"/>
          <w:shd w:val="clear" w:color="auto" w:fill="FFFFFF"/>
        </w:rPr>
        <w:t>Crutchfield, James A., and Giulio Pontecorvo. </w:t>
      </w:r>
      <w:r w:rsidRPr="00AF5B33">
        <w:rPr>
          <w:rFonts w:ascii="Arial" w:hAnsi="Arial" w:cs="Arial"/>
          <w:i/>
          <w:iCs/>
          <w:color w:val="222222"/>
          <w:sz w:val="16"/>
          <w:szCs w:val="16"/>
          <w:shd w:val="clear" w:color="auto" w:fill="FFFFFF"/>
        </w:rPr>
        <w:t>The Pacific salmon fisheries: A study of irrational conservation</w:t>
      </w:r>
      <w:r w:rsidRPr="00AF5B33">
        <w:rPr>
          <w:rFonts w:ascii="Arial" w:hAnsi="Arial" w:cs="Arial"/>
          <w:color w:val="222222"/>
          <w:sz w:val="16"/>
          <w:szCs w:val="16"/>
          <w:shd w:val="clear" w:color="auto" w:fill="FFFFFF"/>
        </w:rPr>
        <w:t>. RFF Press, 2013.</w:t>
      </w:r>
    </w:p>
  </w:footnote>
  <w:footnote w:id="3">
    <w:p w:rsidR="00BE5AEA" w:rsidRPr="00AF5B33" w:rsidRDefault="00BE5AEA" w:rsidP="00BE5AEA">
      <w:pPr>
        <w:pStyle w:val="FootnoteText"/>
        <w:ind w:left="720" w:hanging="720"/>
        <w:rPr>
          <w:sz w:val="16"/>
          <w:szCs w:val="16"/>
        </w:rPr>
      </w:pPr>
      <w:r w:rsidRPr="00AF5B33">
        <w:rPr>
          <w:rStyle w:val="FootnoteReference"/>
          <w:sz w:val="16"/>
          <w:szCs w:val="16"/>
        </w:rPr>
        <w:footnoteRef/>
      </w:r>
      <w:r w:rsidRPr="00AF5B33">
        <w:rPr>
          <w:sz w:val="16"/>
          <w:szCs w:val="16"/>
        </w:rPr>
        <w:t xml:space="preserve"> </w:t>
      </w:r>
      <w:r w:rsidRPr="00AF5B33">
        <w:rPr>
          <w:rFonts w:ascii="Arial" w:hAnsi="Arial" w:cs="Arial"/>
          <w:color w:val="222222"/>
          <w:sz w:val="16"/>
          <w:szCs w:val="16"/>
          <w:shd w:val="clear" w:color="auto" w:fill="FFFFFF"/>
        </w:rPr>
        <w:t>Parreño-Marchante, A., Alvarez-Melcon, A., Trebar, M., &amp; Filippin, P. (2014). Advanced traceability system in aquaculture supply chain. </w:t>
      </w:r>
      <w:r w:rsidRPr="00AF5B33">
        <w:rPr>
          <w:rFonts w:ascii="Arial" w:hAnsi="Arial" w:cs="Arial"/>
          <w:i/>
          <w:iCs/>
          <w:color w:val="222222"/>
          <w:sz w:val="16"/>
          <w:szCs w:val="16"/>
          <w:shd w:val="clear" w:color="auto" w:fill="FFFFFF"/>
        </w:rPr>
        <w:t>Journal of food engineering</w:t>
      </w:r>
      <w:r w:rsidRPr="00AF5B33">
        <w:rPr>
          <w:rFonts w:ascii="Arial" w:hAnsi="Arial" w:cs="Arial"/>
          <w:color w:val="222222"/>
          <w:sz w:val="16"/>
          <w:szCs w:val="16"/>
          <w:shd w:val="clear" w:color="auto" w:fill="FFFFFF"/>
        </w:rPr>
        <w:t>, </w:t>
      </w:r>
      <w:r w:rsidRPr="00AF5B33">
        <w:rPr>
          <w:rFonts w:ascii="Arial" w:hAnsi="Arial" w:cs="Arial"/>
          <w:i/>
          <w:iCs/>
          <w:color w:val="222222"/>
          <w:sz w:val="16"/>
          <w:szCs w:val="16"/>
          <w:shd w:val="clear" w:color="auto" w:fill="FFFFFF"/>
        </w:rPr>
        <w:t>122</w:t>
      </w:r>
      <w:r w:rsidRPr="00AF5B33">
        <w:rPr>
          <w:rFonts w:ascii="Arial" w:hAnsi="Arial" w:cs="Arial"/>
          <w:color w:val="222222"/>
          <w:sz w:val="16"/>
          <w:szCs w:val="16"/>
          <w:shd w:val="clear" w:color="auto" w:fill="FFFFFF"/>
        </w:rPr>
        <w:t>, 99-109.</w:t>
      </w:r>
    </w:p>
  </w:footnote>
  <w:footnote w:id="4">
    <w:p w:rsidR="00BE5AEA" w:rsidRPr="00AF5B33" w:rsidRDefault="00BE5AEA" w:rsidP="00BE5AEA">
      <w:pPr>
        <w:pStyle w:val="FootnoteText"/>
        <w:ind w:left="720" w:hanging="720"/>
        <w:rPr>
          <w:sz w:val="16"/>
          <w:szCs w:val="16"/>
        </w:rPr>
      </w:pPr>
      <w:r w:rsidRPr="00AF5B33">
        <w:rPr>
          <w:rStyle w:val="FootnoteReference"/>
          <w:sz w:val="16"/>
          <w:szCs w:val="16"/>
        </w:rPr>
        <w:footnoteRef/>
      </w:r>
      <w:r w:rsidRPr="00AF5B33">
        <w:rPr>
          <w:sz w:val="16"/>
          <w:szCs w:val="16"/>
        </w:rPr>
        <w:t xml:space="preserve"> </w:t>
      </w:r>
      <w:r w:rsidRPr="00AF5B33">
        <w:rPr>
          <w:rFonts w:ascii="Arial" w:hAnsi="Arial" w:cs="Arial"/>
          <w:color w:val="222222"/>
          <w:sz w:val="16"/>
          <w:szCs w:val="16"/>
          <w:shd w:val="clear" w:color="auto" w:fill="FFFFFF"/>
        </w:rPr>
        <w:t>Tedesco, Sara, William Mullen, and Susana Cristobal. "High-throughput proteomics: a new tool for quality and safety in fishery products." </w:t>
      </w:r>
      <w:r w:rsidRPr="00AF5B33">
        <w:rPr>
          <w:rFonts w:ascii="Arial" w:hAnsi="Arial" w:cs="Arial"/>
          <w:i/>
          <w:iCs/>
          <w:color w:val="222222"/>
          <w:sz w:val="16"/>
          <w:szCs w:val="16"/>
          <w:shd w:val="clear" w:color="auto" w:fill="FFFFFF"/>
        </w:rPr>
        <w:t>Current Protein and Peptide Science</w:t>
      </w:r>
      <w:r w:rsidRPr="00AF5B33">
        <w:rPr>
          <w:rFonts w:ascii="Arial" w:hAnsi="Arial" w:cs="Arial"/>
          <w:color w:val="222222"/>
          <w:sz w:val="16"/>
          <w:szCs w:val="16"/>
          <w:shd w:val="clear" w:color="auto" w:fill="FFFFFF"/>
        </w:rPr>
        <w:t> 15, no. 2 (2014): 118-133.</w:t>
      </w:r>
    </w:p>
  </w:footnote>
  <w:footnote w:id="5">
    <w:p w:rsidR="008F34BA" w:rsidRPr="00AF5B33" w:rsidRDefault="008F34BA" w:rsidP="008F34BA">
      <w:pPr>
        <w:pStyle w:val="FootnoteText"/>
        <w:ind w:left="720" w:hanging="720"/>
        <w:rPr>
          <w:rFonts w:ascii="Arial" w:hAnsi="Arial" w:cs="Arial"/>
          <w:color w:val="222222"/>
          <w:sz w:val="16"/>
          <w:szCs w:val="16"/>
          <w:shd w:val="clear" w:color="auto" w:fill="FFFFFF"/>
        </w:rPr>
      </w:pPr>
      <w:r w:rsidRPr="00AF5B33">
        <w:rPr>
          <w:rStyle w:val="FootnoteReference"/>
          <w:sz w:val="16"/>
          <w:szCs w:val="16"/>
        </w:rPr>
        <w:footnoteRef/>
      </w:r>
      <w:r w:rsidRPr="00AF5B33">
        <w:rPr>
          <w:sz w:val="16"/>
          <w:szCs w:val="16"/>
        </w:rPr>
        <w:t xml:space="preserve"> </w:t>
      </w:r>
      <w:r w:rsidRPr="00AF5B33">
        <w:rPr>
          <w:rFonts w:ascii="Arial" w:hAnsi="Arial" w:cs="Arial"/>
          <w:color w:val="222222"/>
          <w:sz w:val="16"/>
          <w:szCs w:val="16"/>
          <w:shd w:val="clear" w:color="auto" w:fill="FFFFFF"/>
        </w:rPr>
        <w:t>Azevedo, Eduardo M., and Jacob D. Leshno. "A supply and demand framework for two-sided matching markets." </w:t>
      </w:r>
      <w:r w:rsidRPr="00AF5B33">
        <w:rPr>
          <w:rFonts w:ascii="Arial" w:hAnsi="Arial" w:cs="Arial"/>
          <w:i/>
          <w:iCs/>
          <w:color w:val="222222"/>
          <w:sz w:val="16"/>
          <w:szCs w:val="16"/>
          <w:shd w:val="clear" w:color="auto" w:fill="FFFFFF"/>
        </w:rPr>
        <w:t>Journal of Political Economy</w:t>
      </w:r>
      <w:r w:rsidRPr="00AF5B33">
        <w:rPr>
          <w:rFonts w:ascii="Arial" w:hAnsi="Arial" w:cs="Arial"/>
          <w:color w:val="222222"/>
          <w:sz w:val="16"/>
          <w:szCs w:val="16"/>
          <w:shd w:val="clear" w:color="auto" w:fill="FFFFFF"/>
        </w:rPr>
        <w:t> 124, no. 5 (2016): 1235-1268.</w:t>
      </w:r>
    </w:p>
    <w:p w:rsidR="008F34BA" w:rsidRPr="00AF5B33" w:rsidRDefault="008F34BA" w:rsidP="008F34BA">
      <w:pPr>
        <w:pStyle w:val="FootnoteText"/>
        <w:ind w:left="720" w:hanging="720"/>
        <w:rPr>
          <w:sz w:val="16"/>
          <w:szCs w:val="16"/>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4BA" w:rsidRDefault="008F34BA">
    <w:pPr>
      <w:pStyle w:val="Header"/>
      <w:jc w:val="right"/>
    </w:pPr>
    <w:r>
      <w:t xml:space="preserve">Surname </w:t>
    </w:r>
    <w:sdt>
      <w:sdtPr>
        <w:id w:val="-10082862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044B">
          <w:rPr>
            <w:noProof/>
          </w:rPr>
          <w:t>4</w:t>
        </w:r>
        <w:r>
          <w:rPr>
            <w:noProof/>
          </w:rPr>
          <w:fldChar w:fldCharType="end"/>
        </w:r>
      </w:sdtContent>
    </w:sdt>
  </w:p>
  <w:p w:rsidR="008F34BA" w:rsidRDefault="008F34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C55"/>
    <w:rsid w:val="000D0587"/>
    <w:rsid w:val="000F4E77"/>
    <w:rsid w:val="00103C55"/>
    <w:rsid w:val="00513C96"/>
    <w:rsid w:val="0058044B"/>
    <w:rsid w:val="006E6D27"/>
    <w:rsid w:val="006F64D6"/>
    <w:rsid w:val="00755A77"/>
    <w:rsid w:val="008F34BA"/>
    <w:rsid w:val="00925470"/>
    <w:rsid w:val="0095541F"/>
    <w:rsid w:val="00994DF5"/>
    <w:rsid w:val="00AF5B33"/>
    <w:rsid w:val="00BD5755"/>
    <w:rsid w:val="00BE5AEA"/>
    <w:rsid w:val="00DA2D4B"/>
    <w:rsid w:val="00DC4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A500C"/>
  <w15:docId w15:val="{30514A90-0081-4E79-AB1B-CBF142279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F34B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E5A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5AEA"/>
    <w:rPr>
      <w:sz w:val="20"/>
      <w:szCs w:val="20"/>
    </w:rPr>
  </w:style>
  <w:style w:type="character" w:styleId="FootnoteReference">
    <w:name w:val="footnote reference"/>
    <w:basedOn w:val="DefaultParagraphFont"/>
    <w:uiPriority w:val="99"/>
    <w:semiHidden/>
    <w:unhideWhenUsed/>
    <w:rsid w:val="00BE5AEA"/>
    <w:rPr>
      <w:vertAlign w:val="superscript"/>
    </w:rPr>
  </w:style>
  <w:style w:type="character" w:customStyle="1" w:styleId="Heading1Char">
    <w:name w:val="Heading 1 Char"/>
    <w:basedOn w:val="DefaultParagraphFont"/>
    <w:link w:val="Heading1"/>
    <w:uiPriority w:val="9"/>
    <w:rsid w:val="008F34BA"/>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8F34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34BA"/>
    <w:rPr>
      <w:rFonts w:ascii="Tahoma" w:hAnsi="Tahoma" w:cs="Tahoma"/>
      <w:sz w:val="16"/>
      <w:szCs w:val="16"/>
    </w:rPr>
  </w:style>
  <w:style w:type="paragraph" w:styleId="Header">
    <w:name w:val="header"/>
    <w:basedOn w:val="Normal"/>
    <w:link w:val="HeaderChar"/>
    <w:uiPriority w:val="99"/>
    <w:unhideWhenUsed/>
    <w:rsid w:val="008F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4BA"/>
  </w:style>
  <w:style w:type="paragraph" w:styleId="Footer">
    <w:name w:val="footer"/>
    <w:basedOn w:val="Normal"/>
    <w:link w:val="FooterChar"/>
    <w:uiPriority w:val="99"/>
    <w:unhideWhenUsed/>
    <w:rsid w:val="008F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C009533-4E3D-4244-8BAB-997CD7DBA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2019-02-12T00:38:00Z</dcterms:created>
  <dcterms:modified xsi:type="dcterms:W3CDTF">2019-02-12T00:38:00Z</dcterms:modified>
</cp:coreProperties>
</file>